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3E91E950" w:rsidR="008F49D1" w:rsidRPr="008F49D1" w:rsidRDefault="0067559A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27</w:t>
      </w:r>
      <w:r w:rsidR="008B05E5">
        <w:rPr>
          <w:rFonts w:ascii="Times New Roman" w:hAnsi="Times New Roman" w:cs="Times New Roman"/>
        </w:rPr>
        <w:t>,</w:t>
      </w:r>
      <w:r w:rsidR="00F77BFB">
        <w:rPr>
          <w:rFonts w:ascii="Times New Roman" w:hAnsi="Times New Roman" w:cs="Times New Roman"/>
        </w:rPr>
        <w:t xml:space="preserve"> 20</w:t>
      </w:r>
      <w:r w:rsidR="00F04FAA">
        <w:rPr>
          <w:rFonts w:ascii="Times New Roman" w:hAnsi="Times New Roman" w:cs="Times New Roman"/>
        </w:rPr>
        <w:t>2</w:t>
      </w:r>
      <w:r w:rsidR="00B06C8C"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33BF18F3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67559A">
        <w:rPr>
          <w:rFonts w:asciiTheme="majorHAnsi" w:hAnsiTheme="majorHAnsi"/>
          <w:i/>
          <w:szCs w:val="24"/>
        </w:rPr>
        <w:t>April 22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6B2E86CE" w14:textId="7CC1896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27C2188E" w14:textId="23AABF33" w:rsidR="00A34ABC" w:rsidRDefault="00A34ABC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Federal Monitoring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636F45C1" w14:textId="27D6D6B6" w:rsidR="004B72A6" w:rsidRDefault="002B50C2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</w:t>
      </w:r>
      <w:r w:rsidR="00A34ABC">
        <w:rPr>
          <w:rFonts w:asciiTheme="majorHAnsi" w:hAnsiTheme="majorHAnsi"/>
          <w:i/>
          <w:szCs w:val="24"/>
        </w:rPr>
        <w:t>-22</w:t>
      </w:r>
      <w:r w:rsidR="007973E5">
        <w:rPr>
          <w:rFonts w:asciiTheme="majorHAnsi" w:hAnsiTheme="majorHAnsi"/>
          <w:i/>
          <w:szCs w:val="24"/>
        </w:rPr>
        <w:t xml:space="preserve"> &amp;2022-23</w:t>
      </w:r>
      <w:r>
        <w:rPr>
          <w:rFonts w:asciiTheme="majorHAnsi" w:hAnsiTheme="majorHAnsi"/>
          <w:i/>
          <w:szCs w:val="24"/>
        </w:rPr>
        <w:t xml:space="preserve">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  <w:r w:rsidR="0067559A">
        <w:rPr>
          <w:rFonts w:asciiTheme="majorHAnsi" w:hAnsiTheme="majorHAnsi"/>
          <w:i/>
          <w:szCs w:val="24"/>
        </w:rPr>
        <w:t xml:space="preserve"> and approval*</w:t>
      </w:r>
    </w:p>
    <w:p w14:paraId="77F7CCCB" w14:textId="5EF0D774" w:rsidR="0067559A" w:rsidRDefault="0067559A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Transportation Policy*</w:t>
      </w:r>
    </w:p>
    <w:p w14:paraId="63CDD2FD" w14:textId="5A58285D" w:rsidR="0067559A" w:rsidRDefault="0067559A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Technology Policy*</w:t>
      </w:r>
    </w:p>
    <w:p w14:paraId="03114DA8" w14:textId="663B9B0A" w:rsidR="00BD3CCE" w:rsidRPr="0067559A" w:rsidRDefault="00BD3CCE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Bus Driver Policy*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68184CAC" w14:textId="32A5E309" w:rsidR="00674927" w:rsidRDefault="00674927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</w:p>
    <w:p w14:paraId="23B68B2B" w14:textId="70C29D44" w:rsidR="00D8412F" w:rsidRDefault="008B05E5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</w:t>
      </w:r>
      <w:r w:rsidR="002B50C2">
        <w:rPr>
          <w:rFonts w:asciiTheme="majorHAnsi" w:hAnsiTheme="majorHAnsi"/>
          <w:i/>
          <w:szCs w:val="24"/>
        </w:rPr>
        <w:t>taffing approval and updates, if applicable*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E16FF" w14:textId="77777777" w:rsidR="00B344F8" w:rsidRDefault="00B344F8" w:rsidP="00BE2988">
      <w:pPr>
        <w:spacing w:after="0" w:line="240" w:lineRule="auto"/>
      </w:pPr>
      <w:r>
        <w:separator/>
      </w:r>
    </w:p>
  </w:endnote>
  <w:endnote w:type="continuationSeparator" w:id="0">
    <w:p w14:paraId="10D2B1BC" w14:textId="77777777" w:rsidR="00B344F8" w:rsidRDefault="00B344F8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1A75C" w14:textId="77777777" w:rsidR="00B344F8" w:rsidRDefault="00B344F8" w:rsidP="00BE2988">
      <w:pPr>
        <w:spacing w:after="0" w:line="240" w:lineRule="auto"/>
      </w:pPr>
      <w:r>
        <w:separator/>
      </w:r>
    </w:p>
  </w:footnote>
  <w:footnote w:type="continuationSeparator" w:id="0">
    <w:p w14:paraId="5273DBDB" w14:textId="77777777" w:rsidR="00B344F8" w:rsidRDefault="00B344F8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B4C63"/>
    <w:rsid w:val="000C2B1D"/>
    <w:rsid w:val="000C50B3"/>
    <w:rsid w:val="000D2B9C"/>
    <w:rsid w:val="000E6983"/>
    <w:rsid w:val="001011C7"/>
    <w:rsid w:val="00106481"/>
    <w:rsid w:val="00111F67"/>
    <w:rsid w:val="001126CF"/>
    <w:rsid w:val="00122A7E"/>
    <w:rsid w:val="00122F5B"/>
    <w:rsid w:val="00165EB2"/>
    <w:rsid w:val="001736BC"/>
    <w:rsid w:val="001850BD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3E1004"/>
    <w:rsid w:val="0040139C"/>
    <w:rsid w:val="004176EC"/>
    <w:rsid w:val="00436DFA"/>
    <w:rsid w:val="0047192B"/>
    <w:rsid w:val="004722BB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7559A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503BA"/>
    <w:rsid w:val="00882384"/>
    <w:rsid w:val="008971E1"/>
    <w:rsid w:val="008A283B"/>
    <w:rsid w:val="008B05E5"/>
    <w:rsid w:val="008C0CD7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4F8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5A5B"/>
    <w:rsid w:val="00BD6D21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3E09"/>
    <w:rsid w:val="00CA58E8"/>
    <w:rsid w:val="00CA623F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2021-12-16T18:14:00Z</dcterms:created>
  <dcterms:modified xsi:type="dcterms:W3CDTF">2021-12-16T18:14:00Z</dcterms:modified>
</cp:coreProperties>
</file>